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1D" w:rsidRDefault="00B03D5A" w:rsidP="00550DA9">
      <w:pPr>
        <w:spacing w:before="120" w:after="12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第六届焦作大学</w:t>
      </w:r>
      <w:r w:rsidR="00550DA9">
        <w:rPr>
          <w:rFonts w:ascii="黑体" w:eastAsia="黑体" w:hAnsi="黑体" w:cs="黑体" w:hint="eastAsia"/>
          <w:b/>
          <w:sz w:val="36"/>
          <w:szCs w:val="36"/>
        </w:rPr>
        <w:t>学生</w:t>
      </w:r>
      <w:r>
        <w:rPr>
          <w:rFonts w:ascii="黑体" w:eastAsia="黑体" w:hAnsi="黑体" w:cs="黑体" w:hint="eastAsia"/>
          <w:b/>
          <w:sz w:val="36"/>
          <w:szCs w:val="36"/>
        </w:rPr>
        <w:t>技能大赛</w:t>
      </w:r>
    </w:p>
    <w:p w:rsidR="00732B1D" w:rsidRPr="001561DB" w:rsidRDefault="00B03D5A">
      <w:pPr>
        <w:spacing w:before="120" w:after="120"/>
        <w:jc w:val="center"/>
        <w:rPr>
          <w:rFonts w:ascii="黑体" w:eastAsia="黑体" w:hAnsi="黑体" w:cs="黑体"/>
          <w:b/>
          <w:sz w:val="52"/>
          <w:szCs w:val="52"/>
        </w:rPr>
      </w:pPr>
      <w:r w:rsidRPr="001561DB">
        <w:rPr>
          <w:rFonts w:ascii="黑体" w:eastAsia="黑体" w:hAnsi="黑体" w:cs="黑体" w:hint="eastAsia"/>
          <w:b/>
          <w:sz w:val="52"/>
          <w:szCs w:val="52"/>
        </w:rPr>
        <w:t>“机器人系统集成”赛项规程</w:t>
      </w:r>
    </w:p>
    <w:p w:rsidR="00732B1D" w:rsidRDefault="00B03D5A">
      <w:pPr>
        <w:keepNext/>
        <w:keepLines/>
        <w:adjustRightInd w:val="0"/>
        <w:snapToGrid w:val="0"/>
        <w:spacing w:line="540" w:lineRule="exact"/>
        <w:ind w:firstLineChars="200" w:firstLine="560"/>
        <w:jc w:val="left"/>
        <w:outlineLvl w:val="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一、赛项名称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赛项名称：机器人系统集成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赛项组别：高职组 </w:t>
      </w:r>
    </w:p>
    <w:p w:rsidR="00732B1D" w:rsidRDefault="00B03D5A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二、竞赛目的</w:t>
      </w:r>
    </w:p>
    <w:p w:rsidR="00732B1D" w:rsidRDefault="00B03D5A">
      <w:pPr>
        <w:spacing w:line="560" w:lineRule="exact"/>
        <w:ind w:firstLineChars="200" w:firstLine="560"/>
        <w:outlineLvl w:val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通过此项目竞赛，检验参赛选手的团队协作能力、计划组织能力、电气电路设计改造能力、PLC编程、组态监控、PLC通讯、变频器、伺服电机控制、以及质量、效率和安全意识，融合高职机电专业的核心技能与知识，贴近机电专业知识与技能特点，引导高职院校机电类专业综合实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训教学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改革发展方向，促进工学结合人才培养模式改革与创新，提倡和发扬“工匠精神”，培养可持续发展、满足企业需求的机器人系统高技能人才。</w:t>
      </w:r>
    </w:p>
    <w:p w:rsidR="00732B1D" w:rsidRDefault="00B03D5A">
      <w:pPr>
        <w:numPr>
          <w:ilvl w:val="0"/>
          <w:numId w:val="1"/>
        </w:num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竞赛形式</w:t>
      </w:r>
    </w:p>
    <w:p w:rsidR="00732B1D" w:rsidRPr="00550DA9" w:rsidRDefault="00D629F1">
      <w:pPr>
        <w:spacing w:line="560" w:lineRule="exact"/>
        <w:ind w:firstLineChars="200" w:firstLine="560"/>
        <w:outlineLvl w:val="0"/>
        <w:rPr>
          <w:rFonts w:ascii="仿宋_GB2312" w:eastAsia="仿宋_GB2312" w:hAnsi="仿宋_GB2312"/>
          <w:sz w:val="28"/>
          <w:szCs w:val="28"/>
        </w:rPr>
      </w:pPr>
      <w:r w:rsidRPr="00550DA9">
        <w:rPr>
          <w:rFonts w:ascii="仿宋_GB2312" w:eastAsia="仿宋_GB2312" w:hAnsi="仿宋_GB2312" w:hint="eastAsia"/>
          <w:sz w:val="28"/>
          <w:szCs w:val="28"/>
        </w:rPr>
        <w:t>比赛分</w:t>
      </w:r>
      <w:r w:rsidR="00B03D5A" w:rsidRPr="00550DA9">
        <w:rPr>
          <w:rFonts w:ascii="仿宋_GB2312" w:eastAsia="仿宋_GB2312" w:hAnsi="仿宋_GB2312" w:hint="eastAsia"/>
          <w:sz w:val="28"/>
          <w:szCs w:val="28"/>
        </w:rPr>
        <w:t>预赛</w:t>
      </w:r>
      <w:r w:rsidRPr="00550DA9">
        <w:rPr>
          <w:rFonts w:ascii="仿宋_GB2312" w:eastAsia="仿宋_GB2312" w:hAnsi="仿宋_GB2312" w:hint="eastAsia"/>
          <w:sz w:val="28"/>
          <w:szCs w:val="28"/>
        </w:rPr>
        <w:t>和</w:t>
      </w:r>
      <w:r w:rsidR="00B03D5A" w:rsidRPr="00550DA9">
        <w:rPr>
          <w:rFonts w:ascii="仿宋_GB2312" w:eastAsia="仿宋_GB2312" w:hAnsi="仿宋_GB2312" w:hint="eastAsia"/>
          <w:sz w:val="28"/>
          <w:szCs w:val="28"/>
        </w:rPr>
        <w:t>复赛</w:t>
      </w:r>
      <w:r w:rsidRPr="00550DA9">
        <w:rPr>
          <w:rFonts w:ascii="仿宋_GB2312" w:eastAsia="仿宋_GB2312" w:hAnsi="仿宋_GB2312" w:hint="eastAsia"/>
          <w:sz w:val="28"/>
          <w:szCs w:val="28"/>
        </w:rPr>
        <w:t>两个阶段。获得预赛前3名的代表队进入复赛，复赛第1名代表队将代表学校参加省级选拔赛。</w:t>
      </w:r>
    </w:p>
    <w:p w:rsidR="00732B1D" w:rsidRPr="00550DA9" w:rsidRDefault="00B03D5A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 w:rsidRPr="00550DA9">
        <w:rPr>
          <w:rFonts w:ascii="黑体" w:eastAsia="黑体" w:hAnsi="黑体" w:hint="eastAsia"/>
          <w:sz w:val="28"/>
          <w:szCs w:val="28"/>
        </w:rPr>
        <w:t>四、竞赛内容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复赛内容以比赛样题为标准。预赛内容以任务形式体现，竞赛总时间为3小时，分为四个任务进行。每场次赛项放弃任务项最多不超过一次。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任务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：设备电路图绘制及电气设备调试；任务二：绘制输入输出表，进行PLC编程并调试程序；任务三：利用MCGS设计组态页面并和PLC实现监控运行。任务四：职业素养和安全操作。竞赛时间为3小时。任务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一至任务三每个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任务分配时间1小时。任务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四分配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在前三个任务中。成绩分别占总成绩的20%、50%、20%、10%。分数分配见表1。</w:t>
      </w:r>
    </w:p>
    <w:p w:rsidR="00F97CFC" w:rsidRDefault="00F97CFC">
      <w:pPr>
        <w:snapToGrid w:val="0"/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F97CFC" w:rsidRDefault="00F97CFC">
      <w:pPr>
        <w:snapToGrid w:val="0"/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732B1D" w:rsidRDefault="00B03D5A">
      <w:pPr>
        <w:snapToGrid w:val="0"/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表1 竞赛任务环节与分数分配表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5220"/>
        <w:gridCol w:w="2160"/>
      </w:tblGrid>
      <w:tr w:rsidR="00732B1D">
        <w:trPr>
          <w:trHeight w:hRule="exact" w:val="454"/>
        </w:trPr>
        <w:tc>
          <w:tcPr>
            <w:tcW w:w="1387" w:type="dxa"/>
            <w:shd w:val="clear" w:color="auto" w:fill="BEBEBE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5220" w:type="dxa"/>
            <w:shd w:val="clear" w:color="auto" w:fill="BEBEBE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ind w:firstLine="39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评分项目</w:t>
            </w:r>
          </w:p>
        </w:tc>
        <w:tc>
          <w:tcPr>
            <w:tcW w:w="2160" w:type="dxa"/>
            <w:shd w:val="clear" w:color="auto" w:fill="BEBEBE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分值</w:t>
            </w:r>
          </w:p>
        </w:tc>
      </w:tr>
      <w:tr w:rsidR="00732B1D">
        <w:trPr>
          <w:trHeight w:hRule="exact" w:val="421"/>
        </w:trPr>
        <w:tc>
          <w:tcPr>
            <w:tcW w:w="1387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522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电路图绘制及电气设备调试</w:t>
            </w:r>
          </w:p>
        </w:tc>
        <w:tc>
          <w:tcPr>
            <w:tcW w:w="216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20分</w:t>
            </w:r>
          </w:p>
        </w:tc>
      </w:tr>
      <w:tr w:rsidR="00732B1D">
        <w:trPr>
          <w:trHeight w:hRule="exact" w:val="744"/>
        </w:trPr>
        <w:tc>
          <w:tcPr>
            <w:tcW w:w="1387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522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绘制输入输出表，进行PLC编程并调试程序</w:t>
            </w:r>
          </w:p>
        </w:tc>
        <w:tc>
          <w:tcPr>
            <w:tcW w:w="216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50分</w:t>
            </w:r>
          </w:p>
        </w:tc>
      </w:tr>
      <w:tr w:rsidR="00732B1D">
        <w:trPr>
          <w:trHeight w:hRule="exact" w:val="747"/>
        </w:trPr>
        <w:tc>
          <w:tcPr>
            <w:tcW w:w="1387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522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利用MCGS设计组态页面并和PLC实现监控运行</w:t>
            </w:r>
          </w:p>
        </w:tc>
        <w:tc>
          <w:tcPr>
            <w:tcW w:w="216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20分</w:t>
            </w:r>
          </w:p>
        </w:tc>
      </w:tr>
      <w:tr w:rsidR="00732B1D">
        <w:trPr>
          <w:trHeight w:hRule="exact" w:val="747"/>
        </w:trPr>
        <w:tc>
          <w:tcPr>
            <w:tcW w:w="1387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522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职业素养和安全操作</w:t>
            </w:r>
          </w:p>
        </w:tc>
        <w:tc>
          <w:tcPr>
            <w:tcW w:w="216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10分</w:t>
            </w:r>
          </w:p>
        </w:tc>
      </w:tr>
      <w:tr w:rsidR="00732B1D">
        <w:trPr>
          <w:trHeight w:hRule="exact" w:val="454"/>
        </w:trPr>
        <w:tc>
          <w:tcPr>
            <w:tcW w:w="1387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总分</w:t>
            </w:r>
          </w:p>
        </w:tc>
        <w:tc>
          <w:tcPr>
            <w:tcW w:w="5220" w:type="dxa"/>
            <w:vAlign w:val="center"/>
          </w:tcPr>
          <w:p w:rsidR="00732B1D" w:rsidRDefault="00732B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32B1D" w:rsidRDefault="00B03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100分</w:t>
            </w:r>
          </w:p>
        </w:tc>
      </w:tr>
    </w:tbl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任务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：电路图绘制及电气设备调试（20分）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1.检测设备，设计相应的控制电路。调试气缸、传感器到合适的位置。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要求：正确绘制电路图。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任务二：绘制输入输出表，进行PLC编程并调试程序（50分）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1.绘制输入输出表。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2.进行PLC编程并调试程序。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任务三： 利用MCGS设计组态页面并和PLC实现监控运行（20分）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1.利用MCGS设计组态页面。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2.和PLC进行连接，实现监控运行。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任务四：职业素养和安全操作</w:t>
      </w:r>
    </w:p>
    <w:p w:rsidR="00732B1D" w:rsidRDefault="00B03D5A">
      <w:pPr>
        <w:spacing w:line="560" w:lineRule="exact"/>
        <w:ind w:firstLineChars="200" w:firstLine="560"/>
        <w:outlineLvl w:val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竞赛过程中，对参赛选手的技术应用合理性、工具操作规范性、机械电气工艺规范性、耗材使用环保性、功耗控制节能性以及赛场纪律、安全和文明生产等进行综合评价。</w:t>
      </w:r>
    </w:p>
    <w:p w:rsidR="00732B1D" w:rsidRDefault="00B03D5A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五、竞赛方式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（一）本赛项为团体赛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（二）竞赛队伍组成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1.每支参赛队由2名竞赛选手组成，2名选手为同校在籍学生，由参赛</w:t>
      </w:r>
      <w:r>
        <w:rPr>
          <w:rFonts w:ascii="仿宋_GB2312" w:eastAsia="仿宋_GB2312" w:hAnsi="仿宋_GB2312" w:hint="eastAsia"/>
          <w:sz w:val="28"/>
          <w:szCs w:val="28"/>
        </w:rPr>
        <w:lastRenderedPageBreak/>
        <w:t>队自行确定队长1名（确定后不能更换）。</w:t>
      </w:r>
    </w:p>
    <w:p w:rsidR="00732B1D" w:rsidRDefault="00B03D5A">
      <w:pPr>
        <w:spacing w:line="560" w:lineRule="exact"/>
        <w:ind w:firstLine="57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2.指导教师须为本校专兼职教师，每队限报1-2名指导教师。指导教师负责参赛选手的报名、训练指导、比赛期间参赛选手的日常管理。</w:t>
      </w:r>
    </w:p>
    <w:p w:rsidR="00732B1D" w:rsidRDefault="00B03D5A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六、竞赛</w:t>
      </w:r>
      <w:proofErr w:type="gramStart"/>
      <w:r>
        <w:rPr>
          <w:rFonts w:ascii="黑体" w:eastAsia="黑体" w:hAnsi="黑体" w:hint="eastAsia"/>
          <w:sz w:val="28"/>
          <w:szCs w:val="28"/>
        </w:rPr>
        <w:t>赛</w:t>
      </w:r>
      <w:proofErr w:type="gramEnd"/>
      <w:r>
        <w:rPr>
          <w:rFonts w:ascii="黑体" w:eastAsia="黑体" w:hAnsi="黑体" w:hint="eastAsia"/>
          <w:sz w:val="28"/>
          <w:szCs w:val="28"/>
        </w:rPr>
        <w:t>卷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本赛项采用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公开样题的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方式，赛前3天公布竞赛样题。</w:t>
      </w:r>
    </w:p>
    <w:p w:rsidR="00732B1D" w:rsidRDefault="00B03D5A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七、组织参赛人员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评分裁判：两人（具有相关专业知识背景的教师）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裁判长：一人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监督员：一人（教务处）</w:t>
      </w:r>
    </w:p>
    <w:p w:rsidR="00732B1D" w:rsidRDefault="007C029C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="00B03D5A">
        <w:rPr>
          <w:rFonts w:ascii="黑体" w:eastAsia="黑体" w:hAnsi="黑体" w:hint="eastAsia"/>
          <w:sz w:val="28"/>
          <w:szCs w:val="28"/>
        </w:rPr>
        <w:t>、竞赛规则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（一）参赛资格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1.参赛选手须为焦作大学全日制在籍专科学生；。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2.参赛选手年龄不超过25周岁（截止时间以2020年5月1日为准）。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3.凡在往届全国职业院校技能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大赛国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赛、省赛中获一等奖的选手，不再参加本赛项的竞赛。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（二）报名要求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1.组队要求：赛项每代表队</w:t>
      </w:r>
      <w:r w:rsidR="00E7631A"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名参赛选手，报1-2名指导教师，指导教师须为本校专兼职教师。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参赛队选手在报名获得确认后，原则上不再更换，如筹备过程中，选手因故不能参赛，需出具书面说明经学校批准，按相关参赛选手资格补充人员并接受审核；竞赛开始后，参赛队不得更换参赛选手，允许队员缺席比赛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（三）赛前准备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1．熟悉场地：赛项执委会按照竞赛日程安排各参赛队统一有序地熟悉场地。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2．参赛队员入场：参赛选手凭身份证、学生证在正式比赛开始前30分钟到指定地点进行检录，现场裁判将对参赛选手的身份信息进行核对，</w:t>
      </w:r>
      <w:r>
        <w:rPr>
          <w:rFonts w:ascii="仿宋_GB2312" w:eastAsia="仿宋_GB2312" w:hAnsi="仿宋_GB2312" w:hint="eastAsia"/>
          <w:sz w:val="28"/>
          <w:szCs w:val="28"/>
        </w:rPr>
        <w:lastRenderedPageBreak/>
        <w:t>收取相关证件，本场竞赛结束后归还选手。选手在正式比赛开始15分钟后不得入场，不允许提前离场。严禁参赛选手携带与竞赛无关的电子设备、通讯设备及其他相关资料与用品入场。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（四）比赛期间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1.选手进入赛场必须听从现场裁判人员的统一布置和指挥，首先需对比赛设备、选配部件、工具等物品进行检查和测试，如有问题及时举手向裁判人员示意处理。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2.参赛选手必须在裁判宣布比赛开始后才能进行比赛。如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遇身体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不适，参赛选手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应举手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示意现场裁判，现场医务人员按应急预案救治。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3.现场裁判员有权对参赛选手携带的物品进行检验和核准。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4.比赛过程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中选手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不得随意离开工位范围，不得与其它选手交流或擅自离开赛场。如遇问题时须举手向现场裁判员示意询问后处理，否则按作弊行为处理。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5.在比赛过程中只允许裁判员、工作人员进入现场，其余人员（包括领队、指导教师和其他参赛选手）未经赛项执委会同意不得进入赛场。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6.选手必须严格遵守安全操作规程，确保人身和设备安全，并接受现场裁判和技术人员的监督和警示。因选手造成设备故障或损坏，无法继续比赛，裁判有权决定终止比赛。因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非选手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个人因素造成设备故障，由裁判视具体情况做出裁决。如果确定为设备故障问题，裁判长将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酌情给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与补时。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（五）成绩公布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1.成绩评定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（1）现场评分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现场裁判依据现场打分表，对参赛队的操作规范、现场表现等进行评分。评分结果由裁判长、评分裁判签字确认。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（2）成果评分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对参赛选手按任务书要求提交的竞赛成果，主观评分由3名裁判共同评分，裁判根据评分标准分别评分。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2.成绩公布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对成绩数据审核后，经赛项裁判长、监督员审核无误后签字，纸质打印成绩单报送学校教务处。</w:t>
      </w:r>
    </w:p>
    <w:p w:rsidR="00732B1D" w:rsidRDefault="007C029C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</w:t>
      </w:r>
      <w:r w:rsidR="00B03D5A">
        <w:rPr>
          <w:rFonts w:ascii="黑体" w:eastAsia="黑体" w:hAnsi="黑体" w:hint="eastAsia"/>
          <w:sz w:val="28"/>
          <w:szCs w:val="28"/>
        </w:rPr>
        <w:t>、竞赛环境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1.竞赛任务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赛场环境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proofErr w:type="gramStart"/>
      <w:r>
        <w:rPr>
          <w:rFonts w:ascii="仿宋_GB2312" w:eastAsia="仿宋_GB2312" w:hAnsi="仿宋_GB2312" w:hint="eastAsia"/>
          <w:sz w:val="28"/>
          <w:szCs w:val="28"/>
        </w:rPr>
        <w:t>每个赛位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布置电脑席（含计算机）1个，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赛位相互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间隔、互不干扰。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2.竞赛任务二赛场环境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proofErr w:type="gramStart"/>
      <w:r>
        <w:rPr>
          <w:rFonts w:ascii="仿宋_GB2312" w:eastAsia="仿宋_GB2312" w:hAnsi="仿宋_GB2312" w:hint="eastAsia"/>
          <w:sz w:val="28"/>
          <w:szCs w:val="28"/>
        </w:rPr>
        <w:t>每个赛位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布置电脑席（含计算机）1个，配置PLC300 实验台1台。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赛位间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分隔适当，现场保证良好的采光、照明和通风，配有压缩空气气源；配有设备所需电源。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3.赛场设有安全通道，大赛观摩、采访人员在安全通道内活动。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4.赛场提供稳定的水、电、气源和供电应急设备，并有设备维修和电力抢险人员待命。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5.赛场设维修服务、生活补给站等公共服务区，为选手和赛场人员提供服务；设有指导教师进入现场指导的专门通道。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6.赛事单元相对独立，确保选手独立开展比赛，不受外界影响。</w:t>
      </w:r>
    </w:p>
    <w:p w:rsidR="00732B1D" w:rsidRDefault="007C029C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</w:t>
      </w:r>
      <w:r w:rsidR="00B03D5A">
        <w:rPr>
          <w:rFonts w:ascii="黑体" w:eastAsia="黑体" w:hAnsi="黑体" w:hint="eastAsia"/>
          <w:sz w:val="28"/>
          <w:szCs w:val="28"/>
        </w:rPr>
        <w:t>、奖项设置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根据报名参赛队数量设置对应奖项，其中一等奖占比 10%，二等奖占比 25%，三等奖占比 35%，如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占比含小数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，直接进 1 整数化处理。</w:t>
      </w:r>
    </w:p>
    <w:p w:rsidR="00732B1D" w:rsidRDefault="00B03D5A">
      <w:pPr>
        <w:spacing w:line="560" w:lineRule="exact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十</w:t>
      </w:r>
      <w:r w:rsidR="007C029C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、申诉与仲裁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1．申诉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（1）参赛队对不符合竞赛规定的设备、软件、工具和材料备件，有失公正的检测、评判、奖励，以及对工作人员的违规行为等，均可提出申诉。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（2）参赛队申诉均须由领队按照规定时限以书面形式向仲裁工作组提出。仲裁工作组负责受理选手申诉，并将处理意见尽快通知参赛队领队或当事人。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（3）申诉时效：申诉应在比赛结束后 2 小时内书面提出，超过时效</w:t>
      </w:r>
      <w:r>
        <w:rPr>
          <w:rFonts w:ascii="仿宋_GB2312" w:eastAsia="仿宋_GB2312" w:hAnsi="仿宋_GB2312" w:hint="eastAsia"/>
          <w:sz w:val="28"/>
          <w:szCs w:val="28"/>
        </w:rPr>
        <w:lastRenderedPageBreak/>
        <w:t>将不予受理申诉。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2．仲裁</w:t>
      </w:r>
    </w:p>
    <w:p w:rsidR="00732B1D" w:rsidRDefault="00B03D5A">
      <w:pPr>
        <w:spacing w:line="52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（1）组委会下设仲裁工作组，负责受理大赛中出现的所有申诉并进行仲裁，以保证竞赛的顺利进行和竞赛结果公平、公正。</w:t>
      </w:r>
      <w:bookmarkEnd w:id="0"/>
    </w:p>
    <w:sectPr w:rsidR="00732B1D" w:rsidSect="00732B1D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00" w:rsidRDefault="00054100" w:rsidP="00732B1D">
      <w:r>
        <w:separator/>
      </w:r>
    </w:p>
  </w:endnote>
  <w:endnote w:type="continuationSeparator" w:id="0">
    <w:p w:rsidR="00054100" w:rsidRDefault="00054100" w:rsidP="0073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1D" w:rsidRDefault="00732B1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03D5A">
      <w:rPr>
        <w:rStyle w:val="a6"/>
      </w:rPr>
      <w:instrText xml:space="preserve">PAGE  </w:instrText>
    </w:r>
    <w:r>
      <w:fldChar w:fldCharType="end"/>
    </w:r>
  </w:p>
  <w:p w:rsidR="00732B1D" w:rsidRDefault="00732B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1D" w:rsidRDefault="00732B1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03D5A">
      <w:rPr>
        <w:rStyle w:val="a6"/>
      </w:rPr>
      <w:instrText xml:space="preserve">PAGE  </w:instrText>
    </w:r>
    <w:r>
      <w:fldChar w:fldCharType="separate"/>
    </w:r>
    <w:r w:rsidR="007C029C">
      <w:rPr>
        <w:rStyle w:val="a6"/>
        <w:noProof/>
      </w:rPr>
      <w:t>3</w:t>
    </w:r>
    <w:r>
      <w:fldChar w:fldCharType="end"/>
    </w:r>
  </w:p>
  <w:p w:rsidR="00732B1D" w:rsidRDefault="00732B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00" w:rsidRDefault="00054100" w:rsidP="00732B1D">
      <w:r>
        <w:separator/>
      </w:r>
    </w:p>
  </w:footnote>
  <w:footnote w:type="continuationSeparator" w:id="0">
    <w:p w:rsidR="00054100" w:rsidRDefault="00054100" w:rsidP="0073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1D" w:rsidRDefault="00732B1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FE0BD0"/>
    <w:multiLevelType w:val="singleLevel"/>
    <w:tmpl w:val="E0FE0B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3"/>
    <w:rsid w:val="00054100"/>
    <w:rsid w:val="00084DE8"/>
    <w:rsid w:val="00125C13"/>
    <w:rsid w:val="001561DB"/>
    <w:rsid w:val="001D6468"/>
    <w:rsid w:val="001E3EB9"/>
    <w:rsid w:val="00320ABC"/>
    <w:rsid w:val="0034377C"/>
    <w:rsid w:val="0037045F"/>
    <w:rsid w:val="00417A07"/>
    <w:rsid w:val="00431CA0"/>
    <w:rsid w:val="004F156D"/>
    <w:rsid w:val="00550DA9"/>
    <w:rsid w:val="00580CF0"/>
    <w:rsid w:val="005D5686"/>
    <w:rsid w:val="006636AE"/>
    <w:rsid w:val="00692E16"/>
    <w:rsid w:val="00693BAA"/>
    <w:rsid w:val="00732B1D"/>
    <w:rsid w:val="00757188"/>
    <w:rsid w:val="007C029C"/>
    <w:rsid w:val="00841B7A"/>
    <w:rsid w:val="00875C05"/>
    <w:rsid w:val="008E113B"/>
    <w:rsid w:val="0090435A"/>
    <w:rsid w:val="00906C40"/>
    <w:rsid w:val="009813E5"/>
    <w:rsid w:val="009E3C13"/>
    <w:rsid w:val="00AB366A"/>
    <w:rsid w:val="00B03D5A"/>
    <w:rsid w:val="00B52533"/>
    <w:rsid w:val="00BD015D"/>
    <w:rsid w:val="00C22DE9"/>
    <w:rsid w:val="00C36A13"/>
    <w:rsid w:val="00C37424"/>
    <w:rsid w:val="00C40DE2"/>
    <w:rsid w:val="00CC1F69"/>
    <w:rsid w:val="00D11F40"/>
    <w:rsid w:val="00D629F1"/>
    <w:rsid w:val="00DB6531"/>
    <w:rsid w:val="00E53F41"/>
    <w:rsid w:val="00E7631A"/>
    <w:rsid w:val="00EC2807"/>
    <w:rsid w:val="00F203B1"/>
    <w:rsid w:val="00F93B7D"/>
    <w:rsid w:val="00F97CFC"/>
    <w:rsid w:val="00FE36B1"/>
    <w:rsid w:val="08140157"/>
    <w:rsid w:val="08874353"/>
    <w:rsid w:val="08CA6F4E"/>
    <w:rsid w:val="09BA3B26"/>
    <w:rsid w:val="0E487B3A"/>
    <w:rsid w:val="11195646"/>
    <w:rsid w:val="15C30CC9"/>
    <w:rsid w:val="15ED46A2"/>
    <w:rsid w:val="1AA160B4"/>
    <w:rsid w:val="1C6C67D4"/>
    <w:rsid w:val="1E6A34FD"/>
    <w:rsid w:val="1E715651"/>
    <w:rsid w:val="225B2579"/>
    <w:rsid w:val="22613F5C"/>
    <w:rsid w:val="23B455FF"/>
    <w:rsid w:val="242E280C"/>
    <w:rsid w:val="24612ED8"/>
    <w:rsid w:val="248058F7"/>
    <w:rsid w:val="2AEB48DC"/>
    <w:rsid w:val="2F1A73A1"/>
    <w:rsid w:val="315E78AB"/>
    <w:rsid w:val="3520458D"/>
    <w:rsid w:val="37BF02DA"/>
    <w:rsid w:val="39DA3DD9"/>
    <w:rsid w:val="3A194058"/>
    <w:rsid w:val="3B8C3186"/>
    <w:rsid w:val="3BA019E9"/>
    <w:rsid w:val="3F1F0770"/>
    <w:rsid w:val="3F875E82"/>
    <w:rsid w:val="3FF0490C"/>
    <w:rsid w:val="4A5A1435"/>
    <w:rsid w:val="4ADC4D9C"/>
    <w:rsid w:val="4AF87436"/>
    <w:rsid w:val="4CBD28B9"/>
    <w:rsid w:val="4CE26E6F"/>
    <w:rsid w:val="4F8952BF"/>
    <w:rsid w:val="50405129"/>
    <w:rsid w:val="51590E4D"/>
    <w:rsid w:val="54445419"/>
    <w:rsid w:val="55AA740D"/>
    <w:rsid w:val="5ECA2229"/>
    <w:rsid w:val="62E16520"/>
    <w:rsid w:val="641F1244"/>
    <w:rsid w:val="65123025"/>
    <w:rsid w:val="66AF78ED"/>
    <w:rsid w:val="67594BA3"/>
    <w:rsid w:val="6AA42BD1"/>
    <w:rsid w:val="700D7989"/>
    <w:rsid w:val="70DF54A4"/>
    <w:rsid w:val="71D71AE3"/>
    <w:rsid w:val="79723316"/>
    <w:rsid w:val="7B1E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B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732B1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32B1D"/>
    <w:rPr>
      <w:sz w:val="18"/>
      <w:szCs w:val="18"/>
    </w:rPr>
  </w:style>
  <w:style w:type="paragraph" w:styleId="a4">
    <w:name w:val="footer"/>
    <w:basedOn w:val="a"/>
    <w:qFormat/>
    <w:rsid w:val="0073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3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32B1D"/>
  </w:style>
  <w:style w:type="paragraph" w:customStyle="1" w:styleId="1">
    <w:name w:val="列出段落1"/>
    <w:basedOn w:val="a"/>
    <w:qFormat/>
    <w:rsid w:val="00732B1D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"/>
    <w:qFormat/>
    <w:rsid w:val="00732B1D"/>
    <w:pPr>
      <w:spacing w:line="288" w:lineRule="auto"/>
      <w:ind w:firstLineChars="200" w:firstLine="420"/>
      <w:jc w:val="left"/>
    </w:pPr>
    <w:rPr>
      <w:sz w:val="24"/>
    </w:rPr>
  </w:style>
  <w:style w:type="paragraph" w:styleId="a7">
    <w:name w:val="List Paragraph"/>
    <w:basedOn w:val="a"/>
    <w:qFormat/>
    <w:rsid w:val="00732B1D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qFormat/>
    <w:rsid w:val="00732B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B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732B1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32B1D"/>
    <w:rPr>
      <w:sz w:val="18"/>
      <w:szCs w:val="18"/>
    </w:rPr>
  </w:style>
  <w:style w:type="paragraph" w:styleId="a4">
    <w:name w:val="footer"/>
    <w:basedOn w:val="a"/>
    <w:qFormat/>
    <w:rsid w:val="0073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3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32B1D"/>
  </w:style>
  <w:style w:type="paragraph" w:customStyle="1" w:styleId="1">
    <w:name w:val="列出段落1"/>
    <w:basedOn w:val="a"/>
    <w:qFormat/>
    <w:rsid w:val="00732B1D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"/>
    <w:qFormat/>
    <w:rsid w:val="00732B1D"/>
    <w:pPr>
      <w:spacing w:line="288" w:lineRule="auto"/>
      <w:ind w:firstLineChars="200" w:firstLine="420"/>
      <w:jc w:val="left"/>
    </w:pPr>
    <w:rPr>
      <w:sz w:val="24"/>
    </w:rPr>
  </w:style>
  <w:style w:type="paragraph" w:styleId="a7">
    <w:name w:val="List Paragraph"/>
    <w:basedOn w:val="a"/>
    <w:qFormat/>
    <w:rsid w:val="00732B1D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qFormat/>
    <w:rsid w:val="00732B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2019-03-13T01:40:00Z</cp:lastPrinted>
  <dcterms:created xsi:type="dcterms:W3CDTF">2020-10-05T08:54:00Z</dcterms:created>
  <dcterms:modified xsi:type="dcterms:W3CDTF">2020-10-05T08:54:00Z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